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B4" w:rsidRPr="007C0D59" w:rsidRDefault="00FF48BB" w:rsidP="00561DB4">
      <w:pPr>
        <w:tabs>
          <w:tab w:val="clear" w:pos="170"/>
        </w:tabs>
        <w:spacing w:line="600" w:lineRule="atLeast"/>
        <w:ind w:left="0" w:firstLine="0"/>
        <w:rPr>
          <w:rFonts w:asciiTheme="minorHAnsi" w:hAnsiTheme="minorHAnsi" w:cs="AgendaPl Bold"/>
          <w:b/>
          <w:bCs/>
          <w:color w:val="FF7F00"/>
          <w:sz w:val="48"/>
          <w:szCs w:val="48"/>
        </w:rPr>
      </w:pPr>
      <w:r>
        <w:rPr>
          <w:rFonts w:asciiTheme="minorHAnsi" w:hAnsiTheme="minorHAnsi" w:cs="AgendaPl Bold"/>
          <w:b/>
          <w:bCs/>
          <w:color w:val="FF7F00"/>
          <w:sz w:val="48"/>
          <w:szCs w:val="48"/>
        </w:rPr>
        <w:t>Wymagania edukacyjne</w:t>
      </w:r>
    </w:p>
    <w:p w:rsidR="00211372" w:rsidRDefault="00BE3B64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>Klasa 5</w:t>
      </w:r>
    </w:p>
    <w:tbl>
      <w:tblPr>
        <w:tblStyle w:val="Tabela-Siatka"/>
        <w:tblW w:w="0" w:type="auto"/>
        <w:tblLook w:val="04A0"/>
      </w:tblPr>
      <w:tblGrid>
        <w:gridCol w:w="2357"/>
        <w:gridCol w:w="4715"/>
        <w:gridCol w:w="7073"/>
      </w:tblGrid>
      <w:tr w:rsidR="00ED6D91" w:rsidTr="00A95E29">
        <w:trPr>
          <w:trHeight w:val="81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Default="00ED6D91" w:rsidP="00C514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temat lekcji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Default="00ED6D91" w:rsidP="00A95E2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Wymagania podstawowe</w:t>
            </w:r>
          </w:p>
          <w:p w:rsidR="00ED6D91" w:rsidRDefault="00ED6D91" w:rsidP="00A95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Default="00ED6D91" w:rsidP="00A95E2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Wymagania ponadpodstawowe</w:t>
            </w:r>
          </w:p>
          <w:p w:rsidR="00ED6D91" w:rsidRDefault="00ED6D91" w:rsidP="00A95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4714"/>
        <w:gridCol w:w="7073"/>
      </w:tblGrid>
      <w:tr w:rsidR="00ED6D91" w:rsidTr="00A95E29"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Pr="003510E8" w:rsidRDefault="00ED6D91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="Calibri" w:hAnsi="Calibri" w:cs="Calibri"/>
                <w:i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sz w:val="22"/>
                <w:szCs w:val="22"/>
                <w:lang w:eastAsia="en-US"/>
              </w:rPr>
              <w:t xml:space="preserve">Dział 1. </w:t>
            </w:r>
            <w:r w:rsidRPr="003510E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PODSTAWY</w:t>
            </w:r>
            <w:r w:rsidR="00C5146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3510E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BIOLOGII. STRUKTURA KOMÓRKI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sz w:val="22"/>
                <w:szCs w:val="22"/>
                <w:lang w:eastAsia="en-US"/>
              </w:rPr>
              <w:t>1. Powitanie biologii</w:t>
            </w:r>
          </w:p>
          <w:p w:rsidR="00ED6D91" w:rsidRPr="003510E8" w:rsidRDefault="00ED6D91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53" w:firstLine="0"/>
              <w:textAlignment w:val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cechy odróżniające organizmy od materii nieożywionej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określa, czym zajmuje się biologia jako nauka oraz jej wybrane działy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określa, co to jest komórka, tkanka, narząd i układ narządów z uwzględnieniem przykładów 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przedstawia hierarchiczną 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organizację budowy organizmów roślinnych i zwierzęcych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przykłady zastosowania wiedzy biologicznej w życiu człowieka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sz w:val="22"/>
                <w:szCs w:val="22"/>
                <w:lang w:eastAsia="en-US"/>
              </w:rPr>
              <w:t>2. Badanie świata organizmów</w:t>
            </w:r>
          </w:p>
          <w:p w:rsidR="00ED6D91" w:rsidRPr="003510E8" w:rsidRDefault="00ED6D91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C5146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wymienia podstawowe etapy planowania doświadczenia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określa warunki 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przeprowadzania </w:t>
            </w:r>
            <w:r w:rsidRPr="00C5146B">
              <w:rPr>
                <w:rFonts w:asciiTheme="minorHAnsi" w:hAnsiTheme="minorHAnsi" w:cs="Calibri"/>
                <w:sz w:val="22"/>
                <w:szCs w:val="22"/>
              </w:rPr>
              <w:t xml:space="preserve"> obserwacji i doświadczeń biologicznych 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przeprowadza obserwację i proste doświadczenie biologiczne zgodnie z instrukcją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dokumentuje obserwacje i proste doświadczenia biologiczne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9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planuje prostą obserwację lub doświadczenie biologiczne z uwzględnieniem  procedury badawczej i zasad bezpieczeństwa 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9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formułuje problem badawczy i hipotezę na podstawie przykładowego doświadczenia biologicznego 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9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rozróżnia próbę kontrolną i próbę badawczą</w:t>
            </w:r>
          </w:p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9"/>
              </w:numPr>
              <w:ind w:left="17" w:firstLine="0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uzasadnia potrzebę przestrzegania procedur badawczych podczas obserwacji i doświadczeń  biologicznych</w:t>
            </w:r>
          </w:p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9"/>
              </w:numPr>
              <w:ind w:left="17" w:firstLine="0"/>
              <w:rPr>
                <w:rFonts w:asciiTheme="minorHAnsi" w:hAnsi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przeprowadza samodzielnie zaplanowane doświadczenie i obserwację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9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analizuje wyniki i formułuje wnioski z przeprowadzonej obserwacji lub doświadczenia biologicznego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3510E8" w:rsidRDefault="00ED6D91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sz w:val="22"/>
                <w:szCs w:val="22"/>
                <w:lang w:eastAsia="en-US"/>
              </w:rPr>
              <w:t>3. Budowa mikroskopu. Obserwacje mikroskopowe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podaje przykłady obiektów przyrodniczych, które mogą być przedmiotem obserwacji mikroskopowych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rozpoznaje  elementy  budowy mikroskopu optycznego 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lastRenderedPageBreak/>
              <w:t>wymienia we właściwej kolejności etapy prowadzenia obserwacji mikroskopowej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prawidłowo posługuje się mikroskopem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>oblicza powiększenia obrazu oglądanego obiektu uzyskiwane w  mikroskopie  optycznym</w:t>
            </w:r>
          </w:p>
          <w:p w:rsidR="00ED6D91" w:rsidRPr="00C5146B" w:rsidRDefault="00ED6D91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lastRenderedPageBreak/>
              <w:t>opisuje przebieg przygotowania preparatu mikroskopowego świeżego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funkcje poszczególnych elementów budowy mikroskopu optycznego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eastAsia="Lato-Regular" w:hAnsiTheme="minorHAnsi" w:cs="Calibri"/>
                <w:bCs/>
                <w:sz w:val="22"/>
                <w:szCs w:val="22"/>
                <w:lang w:eastAsia="en-US"/>
              </w:rPr>
              <w:t>dokonuje</w:t>
            </w:r>
            <w:r w:rsidRPr="00C5146B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 xml:space="preserve"> samodzielnie </w:t>
            </w:r>
            <w:r w:rsidRPr="00C5146B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obserwacji mikroskopowej w celu określenia cech obrazu obiektu i jego  powiększenia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21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sz w:val="22"/>
                <w:szCs w:val="22"/>
                <w:lang w:eastAsia="en-US"/>
              </w:rPr>
              <w:lastRenderedPageBreak/>
              <w:t>4. Chemiczne podstawy życia</w:t>
            </w:r>
          </w:p>
          <w:p w:rsidR="00ED6D91" w:rsidRPr="003510E8" w:rsidRDefault="00ED6D91" w:rsidP="00A95E29">
            <w:pPr>
              <w:pStyle w:val="Style21"/>
              <w:widowControl/>
              <w:spacing w:line="276" w:lineRule="auto"/>
              <w:ind w:left="384" w:hanging="384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wymie</w:t>
            </w:r>
            <w:r w:rsid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nia najważniejsze pierwiastki i 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grupy zwi</w:t>
            </w:r>
            <w:r w:rsid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ązków chemicznych wchodzących w 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skład organizmów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funkcje wody w organizmach i w środowisku przyrodniczym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podstawowe funkcje białek, cukrów, tłuszczów i kwasów nukleinowych w organizmach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określa, co to są sole mineralne i jaką pełnią funkcję w organizmach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określa znaczenie podstawow</w:t>
            </w:r>
            <w:r w:rsidR="00C5146B">
              <w:rPr>
                <w:rFonts w:asciiTheme="minorHAnsi" w:hAnsiTheme="minorHAnsi" w:cs="Calibri"/>
                <w:sz w:val="22"/>
                <w:szCs w:val="22"/>
              </w:rPr>
              <w:t>ych grup związków chemicznych w </w:t>
            </w:r>
            <w:r w:rsidRPr="00C5146B">
              <w:rPr>
                <w:rFonts w:asciiTheme="minorHAnsi" w:hAnsiTheme="minorHAnsi" w:cs="Calibri"/>
                <w:sz w:val="22"/>
                <w:szCs w:val="22"/>
              </w:rPr>
              <w:t>życiu organizmów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sz w:val="22"/>
                <w:szCs w:val="22"/>
                <w:lang w:eastAsia="en-US"/>
              </w:rPr>
              <w:t>5. Budowa komórki zwierzęcej</w:t>
            </w:r>
          </w:p>
          <w:p w:rsidR="00ED6D91" w:rsidRPr="003510E8" w:rsidRDefault="00ED6D91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określa, co to jest komórka</w:t>
            </w:r>
          </w:p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wymienia podstawowe elementy budowy komórki zwierzęcej</w:t>
            </w:r>
          </w:p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podstawowe funkcje elementów budowy komórki zwierzęcej</w:t>
            </w:r>
          </w:p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dokonuje obserwacji mikroskopowych  komórek zwierzęcych na preparatach trwałych z zachowaniem zasad mikroskopowania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="AgendaPl-RegularCondensed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 xml:space="preserve">rozpoznaje podstawowe 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elementy budowy komórki zwierzęcej </w:t>
            </w:r>
            <w:r w:rsidRPr="00C5146B">
              <w:rPr>
                <w:rFonts w:asciiTheme="minorHAnsi" w:hAnsiTheme="minorHAnsi" w:cs="AgendaPl-RegularCondensed"/>
                <w:sz w:val="22"/>
                <w:szCs w:val="22"/>
              </w:rPr>
              <w:t xml:space="preserve">(pod mikroskopem, na schemacie, na zdjęciu lub na podstawie opisu) 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  </w:t>
            </w:r>
          </w:p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10"/>
              </w:numPr>
              <w:ind w:left="1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podaje przykłady komórek zwierzęcych budujących organizmy oraz ich funkcje w organizmie</w:t>
            </w:r>
          </w:p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10"/>
              </w:numPr>
              <w:ind w:left="1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porównuje budowę komórek zwierzęcych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wykazuje związek budowy komór</w:t>
            </w:r>
            <w:r w:rsid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ek zwierzęcych z  ich funkcją w 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organizmie</w:t>
            </w:r>
          </w:p>
          <w:p w:rsidR="00ED6D91" w:rsidRPr="00C5146B" w:rsidRDefault="00ED6D91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sz w:val="22"/>
                <w:szCs w:val="22"/>
                <w:lang w:eastAsia="en-US"/>
              </w:rPr>
              <w:t>6.</w:t>
            </w:r>
            <w:r w:rsidRPr="003510E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Komórka roślinna i bakteryjna. Porównanie budowy komórek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wymienia podstawowe elementy budowy komórki roślinnej i komórki bakteryjnej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przygotowuje samodzielnie preparat mikroskopowy świeży z tkanki roślinnej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dokonuje obserwacji mikroskopowej  komórek roślinnych na preparacie świeżym z zachowaniem zasad mikroskopowania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funkcje podstawowych elementów budowy komórki roślinnej i komórki bakteryjnej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Fonts w:asciiTheme="minorHAnsi" w:eastAsia="Calibri" w:hAnsi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odróżnia  komórkę roślinną od komórki 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zwierzęcej oraz komórki jądrowe od komórek bezjądrowych (bakteryjnych)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Style w:val="FontStyle69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rozpoznaje podstawowe 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elementy budowy komórki roślinnej i komórki bakteryjnej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opisuje budowę komórki bakteryjnej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wyjaśnia związek elementów budowy komórki  roślinnej i komórki zwierzęcej z  ich funkcją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porównuje komórki rośliną i zwierzęcą oraz komórki jądrową i bakteryjną, </w:t>
            </w:r>
            <w:r w:rsidRPr="00C5146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wskazując cechy umożliwiające rozróżnienie tych komórek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Pr="003510E8" w:rsidRDefault="00ED6D91" w:rsidP="00A95E29">
            <w:pPr>
              <w:pStyle w:val="Style21"/>
              <w:widowControl/>
              <w:spacing w:line="276" w:lineRule="auto"/>
              <w:rPr>
                <w:rStyle w:val="FontStyle70"/>
                <w:rFonts w:ascii="Calibri" w:hAnsi="Calibri" w:cs="Calibri"/>
                <w:i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sz w:val="22"/>
                <w:szCs w:val="22"/>
                <w:lang w:eastAsia="en-US"/>
              </w:rPr>
              <w:lastRenderedPageBreak/>
              <w:t>7. Podsumowanie</w:t>
            </w:r>
            <w:r w:rsidRPr="003510E8">
              <w:rPr>
                <w:rStyle w:val="FontStyle68"/>
                <w:sz w:val="22"/>
                <w:szCs w:val="22"/>
                <w:lang w:eastAsia="en-US"/>
              </w:rPr>
              <w:br/>
              <w:t xml:space="preserve">działu 1: </w:t>
            </w:r>
            <w:r w:rsidRPr="003510E8">
              <w:rPr>
                <w:rStyle w:val="FontStyle68"/>
                <w:i/>
                <w:sz w:val="22"/>
                <w:szCs w:val="22"/>
                <w:lang w:eastAsia="en-US"/>
              </w:rPr>
              <w:t>Podstawy biologii. Struktura komórki</w:t>
            </w:r>
          </w:p>
        </w:tc>
        <w:tc>
          <w:tcPr>
            <w:tcW w:w="1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91" w:rsidRPr="00C5146B" w:rsidRDefault="00ED6D91" w:rsidP="00A95E29">
            <w:pPr>
              <w:spacing w:line="240" w:lineRule="auto"/>
              <w:jc w:val="center"/>
              <w:rPr>
                <w:rFonts w:cs="Calibri"/>
              </w:rPr>
            </w:pPr>
          </w:p>
          <w:p w:rsidR="00ED6D91" w:rsidRPr="00C5146B" w:rsidRDefault="00ED6D91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wszystkie wymagania z lekcji 1–6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2357"/>
        <w:gridCol w:w="4714"/>
        <w:gridCol w:w="7073"/>
      </w:tblGrid>
      <w:tr w:rsidR="00ED6D91" w:rsidTr="00A95E29"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Default="00ED6D91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hAnsiTheme="minorHAnsi" w:cstheme="minorHAnsi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Dział 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CZYNNOŚCI ŻYCIOWE ORGANIZMÓW I SYSTEMATYKA ORGANIZMÓW. WIRUSY. BAKTERIE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Default="00ED6D91" w:rsidP="00A95E29">
            <w:pPr>
              <w:pStyle w:val="Style21"/>
              <w:widowControl/>
              <w:ind w:hanging="40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8. Czynności życiowe organizmów</w:t>
            </w:r>
          </w:p>
          <w:p w:rsidR="00ED6D91" w:rsidRDefault="00ED6D91" w:rsidP="00A95E29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czynności życiowe jako cechy właściwe tylko organizmom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hanging="4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krótko charakteryzuje podstawowe czynności życiowe organizmów (odżywianie się, oddychanie, wydalanie, wrażliwość na bodźce, wzrost i rozwój, ruch, rozmnażanie się)</w:t>
            </w:r>
          </w:p>
          <w:p w:rsidR="00ED6D91" w:rsidRPr="00C5146B" w:rsidRDefault="00ED6D91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określa, na czym polega rozmnażanie się płciowe i bezpłciowe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różnice między  rozmnażaniem się płciowym i rozmnażaniem się bezpłciowym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hanging="4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rodzaje rozmnażania się bezpłciowego (podział, pączkowanie, fragmentację, przez zarodniki)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9. </w:t>
            </w:r>
            <w:r w:rsidRPr="005D6C6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Odżywianie się organizmów. Fotosynteza</w:t>
            </w:r>
          </w:p>
          <w:p w:rsidR="00ED6D91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wyjaśnia, co to jest odżywianie się i jakie jest jego znaczenie w życiu organizmów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wyjaśnia, na czym polega samożywność i cudzożywność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dokonuje podziału organizmów cudzożywnych ze względu na rodzaj pobieranego pokarmu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06" w:hanging="142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wymienia substraty i produkty fotosyntezy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lang w:eastAsia="en-US"/>
              </w:rPr>
              <w:t>wyjaśnia znaczenie fotosyntezy dla życia na Ziemi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wyjaśnia, na czym polega  fotosynteza 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warunki przebiegu fotosyntezy (w odniesieniu do światła i temperatury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)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rolę chlorofilu w fotosyntezie (wiązanie energii słonecznej)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planuje doświadczenie wskazujące na wpływ wybranego czynnika na intensywność fotosyntezy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przeprowadza doświadczenie wskazujące na wpływ wybranego czynnika na intensywność fotosyntezy</w:t>
            </w:r>
          </w:p>
          <w:p w:rsidR="00ED6D91" w:rsidRPr="00C5146B" w:rsidRDefault="00ED6D91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10. Oddychanie organizmów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znaczenie procesów pozyskiwania energii dla organizmów (oddychanie tlenowe i fermentacja)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53" w:firstLine="0"/>
              <w:textAlignment w:val="auto"/>
              <w:rPr>
                <w:rStyle w:val="FontStyle69"/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przedstawia oddychanie jako sposób uwalniania energii potrzebnej do życia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określa różnice między oddychaniem </w:t>
            </w: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lastRenderedPageBreak/>
              <w:t>komórkowym a wymianą gazową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podaje przykłady zastosowania fermentacji w przemyśle i gospodarstwie domowym</w:t>
            </w:r>
          </w:p>
          <w:p w:rsidR="00ED6D91" w:rsidRPr="00C5146B" w:rsidRDefault="00ED6D91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clear" w:pos="170"/>
                <w:tab w:val="left" w:pos="385"/>
              </w:tabs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lastRenderedPageBreak/>
              <w:t>zapisuje słownie równanie oddychania tlenowego, określając substraty, produkty oraz warunki przebiegu tego procesu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substraty i produkty fermentacji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porównuje oddychanie tlenowe z fermentacją pod kątem substratów, produktów, ilości uwalnianej energii i lokalizacji w komórce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lastRenderedPageBreak/>
              <w:t xml:space="preserve">określa warunki przebiegu fermentacji 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planuje doświadczenie wykazujące, że podczas fermentacji drożdże wydzielają dwutlenek węgla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przeprowadza doświadczenie fermentacji u drożdży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końcowe produkty fermentacji na podstawie przeprowadzonego doświadczenia</w:t>
            </w:r>
          </w:p>
        </w:tc>
      </w:tr>
      <w:tr w:rsidR="00ED6D91" w:rsidTr="00A95E29">
        <w:trPr>
          <w:trHeight w:val="205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11.</w:t>
            </w:r>
            <w:r w:rsidR="00C5146B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Zasady klasyfikowania organizmów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podaje przykład kryterium pomocnego w klasyfikacji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37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określa, w jakim celu klasyfikuje się organizmy 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określa, co to jest gatunek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wyjaśnia, co rozumiemy pod pojęciem oznaczanie organizmów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klasyfikuje organizmy na podstawie przyjętego kryterium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wykorzystuje prosty klucz do klasyfikowania organizmów </w:t>
            </w: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color w:val="auto"/>
                <w:sz w:val="22"/>
                <w:szCs w:val="22"/>
              </w:rPr>
              <w:t>z najbliższego otoczenia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konstruuje prosty dwudzielny klucz do oznaczania przykładowych organizmów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12. Systematyka organizmów. Przegląd królestw </w:t>
            </w:r>
          </w:p>
          <w:p w:rsidR="00ED6D91" w:rsidRDefault="00ED6D91" w:rsidP="00A95E29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określa, czym zajmuje się systematyka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zasady systemu klasyfikacji biologicznej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przykłady jednostek systematycznych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wymienia w kolejności główne  jednostki systematyczne królestwa zwierząt i królestwa roślin</w:t>
            </w:r>
          </w:p>
          <w:p w:rsidR="00ED6D91" w:rsidRPr="00C5146B" w:rsidRDefault="00ED6D91" w:rsidP="00A95E2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wyjaśnia zastosowanie pojęcia „układ hierarchiczny” w odniesieniu do klasyfikacji organizmów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określa, jak tworzy się nazwę gatunkową (podwójne nazewnictwo)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hanging="703"/>
              <w:jc w:val="left"/>
              <w:rPr>
                <w:rStyle w:val="FontStyle69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rozpoznaje organizmy z najbliższego otoczenia, posługując się prostym kluczem do ich oznaczania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ogólną charakterystykę każdego z pięciu królestw organizmów, ze wskazaniem na istotne cechy różniące te królestwa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przedstawia charakterystyczne cechy organizmów pozwalające przyporządkować je do jednego z królestw</w:t>
            </w: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13. Bakterie i wirusy</w:t>
            </w:r>
          </w:p>
          <w:p w:rsidR="00ED6D91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  <w:lang w:eastAsia="en-US"/>
              </w:rPr>
              <w:t>określa rozmiary bakterii i środowisko ich życia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rozróżnia formy komórek bakteryjnych (kuliste, pałeczkowate, przecinkowate i spiralne)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przedstawia znaczenie bakterii w przyrodzie 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znaczenie bakterii w życiu człowieka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podaje przykłady chorób bakteryjnych i wirusowych człowieka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ogólne zasady  profilaktyki chorób bakteryjnych i  chorób wirusowych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przedstawia czynności życiowe bakterii:</w:t>
            </w:r>
          </w:p>
          <w:p w:rsidR="00ED6D91" w:rsidRPr="00C5146B" w:rsidRDefault="00ED6D91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sposoby odżywiania się bakterii:  cudzożywne (pasożyty, saprotrofy, symbionty) i samożywne</w:t>
            </w:r>
          </w:p>
          <w:p w:rsidR="00ED6D91" w:rsidRPr="00C5146B" w:rsidRDefault="00ED6D91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sposoby oddychania (tlenowe i beztlenowe)</w:t>
            </w:r>
          </w:p>
          <w:p w:rsidR="00ED6D91" w:rsidRPr="00C5146B" w:rsidRDefault="00ED6D91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rozmnażanie się (przez podział)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wskazuje na związki pomiędzy  środowiskiem życia, czynnościami życiowych i znaczeniem bakterii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przedstawia drogi rozprzestrzeniania się i zasady profilaktyki chorób bakteryjnych  (gruźlica, borelioza, tężec, salmonelloza) i wirusowych (grypa, ospa, różyczka, świnka, odra, AIDS)</w:t>
            </w:r>
          </w:p>
          <w:p w:rsidR="00ED6D91" w:rsidRPr="00C5146B" w:rsidRDefault="00ED6D91" w:rsidP="00ED6D91">
            <w:pPr>
              <w:pStyle w:val="Style42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uzasadnia, dlaczego wirusów nie można zaklasyfikować do organizmów</w:t>
            </w:r>
          </w:p>
          <w:p w:rsidR="00ED6D91" w:rsidRPr="00C5146B" w:rsidRDefault="00ED6D91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D91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Default="00ED6D91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14.</w:t>
            </w:r>
            <w:r w:rsidR="00C569BC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Podsumowanie</w:t>
            </w:r>
          </w:p>
          <w:p w:rsidR="00ED6D91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działu 2: </w:t>
            </w:r>
            <w:r w:rsidRPr="00152F16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Czynności życiowe organizmów i systematyka organizmów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152F16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Wirusy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152F16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Bakterie</w:t>
            </w:r>
          </w:p>
        </w:tc>
        <w:tc>
          <w:tcPr>
            <w:tcW w:w="1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Pr="003510E8" w:rsidRDefault="00ED6D91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0E8">
              <w:rPr>
                <w:rFonts w:asciiTheme="minorHAnsi" w:hAnsiTheme="minorHAnsi" w:cstheme="minorHAnsi"/>
                <w:sz w:val="22"/>
                <w:szCs w:val="22"/>
              </w:rPr>
              <w:t>wszystkie wymagania z lekcji 9–13</w:t>
            </w:r>
          </w:p>
        </w:tc>
      </w:tr>
      <w:tr w:rsidR="00ED6D91" w:rsidRPr="000F1D47" w:rsidTr="00A95E29"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Pr="003510E8" w:rsidRDefault="00ED6D91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hAnsiTheme="minorHAnsi" w:cstheme="minorHAnsi"/>
                <w:b w:val="0"/>
                <w:i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 3. </w:t>
            </w:r>
            <w:r w:rsidRPr="003510E8">
              <w:rPr>
                <w:rFonts w:asciiTheme="minorHAnsi" w:hAnsiTheme="minorHAnsi" w:cstheme="minorHAnsi"/>
                <w:b/>
                <w:sz w:val="22"/>
                <w:szCs w:val="22"/>
              </w:rPr>
              <w:t>PROTISTY. GRZYBY. ROŚLINY ZARODNIKOWE</w:t>
            </w:r>
          </w:p>
        </w:tc>
      </w:tr>
      <w:tr w:rsidR="00ED6D91" w:rsidRPr="000F1D4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15.</w:t>
            </w:r>
            <w:r w:rsidR="00C569BC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510E8">
              <w:rPr>
                <w:rFonts w:asciiTheme="minorHAnsi" w:hAnsiTheme="minorHAnsi" w:cstheme="minorHAnsi"/>
                <w:b/>
                <w:color w:val="231F20"/>
                <w:sz w:val="22"/>
                <w:szCs w:val="22"/>
                <w:shd w:val="clear" w:color="auto" w:fill="FFFFFF"/>
              </w:rPr>
              <w:t>Protisty</w:t>
            </w:r>
            <w:r w:rsidRPr="003510E8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– charakterystyka, </w:t>
            </w:r>
            <w:r w:rsidRPr="003510E8">
              <w:rPr>
                <w:rFonts w:asciiTheme="minorHAnsi" w:hAnsiTheme="minorHAnsi" w:cstheme="minorHAnsi"/>
                <w:b/>
                <w:sz w:val="22"/>
                <w:szCs w:val="22"/>
              </w:rPr>
              <w:t>czynności życiowe</w:t>
            </w:r>
          </w:p>
          <w:p w:rsidR="00ED6D91" w:rsidRPr="003510E8" w:rsidRDefault="00ED6D91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Tekstkomentarza"/>
              <w:numPr>
                <w:ilvl w:val="0"/>
                <w:numId w:val="14"/>
              </w:numPr>
              <w:tabs>
                <w:tab w:val="left" w:pos="248"/>
              </w:tabs>
              <w:ind w:left="-36" w:firstLine="0"/>
              <w:rPr>
                <w:rStyle w:val="FontStyle69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5146B">
              <w:rPr>
                <w:rFonts w:asciiTheme="minorHAnsi" w:hAnsiTheme="minorHAnsi"/>
                <w:sz w:val="22"/>
                <w:szCs w:val="22"/>
              </w:rPr>
              <w:t>określa  środowisko i tryb życia protistów, podając przykłady organizmów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wymienia cechy umożliwiające zakwalifikowanie organizmu do protistów roślinnych oraz protistów zwierzęcych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odróżnia protisty jedno- od wielokomórkowych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53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zakłada hodowlę protistów zgodnie z podaną instrukcją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wskazuje cechy grupy organizmów tworzących królestwo protistów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przedstawia wybrane czynności życiowe protistów (oddychanie, odżywianie się, rozmnażanie się)</w:t>
            </w:r>
          </w:p>
          <w:p w:rsidR="00ED6D91" w:rsidRPr="00C5146B" w:rsidRDefault="00ED6D91" w:rsidP="00ED6D91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wyjaśnia, dlaczego euglena zielona jest nazywana </w:t>
            </w: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organizmem zmiennożywnym</w:t>
            </w:r>
          </w:p>
        </w:tc>
      </w:tr>
      <w:tr w:rsidR="00ED6D91" w:rsidRPr="000F1D4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  <w:r w:rsidRPr="003510E8">
              <w:rPr>
                <w:rFonts w:asciiTheme="minorHAnsi" w:hAnsiTheme="minorHAnsi" w:cstheme="minorHAnsi"/>
                <w:b/>
                <w:sz w:val="22"/>
                <w:szCs w:val="22"/>
              </w:rPr>
              <w:t>Przegląd protistów. Protisty chorobotwórcze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clear" w:pos="170"/>
                <w:tab w:val="left" w:pos="337"/>
              </w:tabs>
              <w:suppressAutoHyphens w:val="0"/>
              <w:spacing w:line="240" w:lineRule="auto"/>
              <w:ind w:left="53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 xml:space="preserve">przedstawia czynności życiowe pantofelka 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4"/>
              </w:numPr>
              <w:tabs>
                <w:tab w:val="clear" w:pos="170"/>
                <w:tab w:val="left" w:pos="282"/>
              </w:tabs>
              <w:suppressAutoHyphens w:val="0"/>
              <w:spacing w:line="240" w:lineRule="auto"/>
              <w:ind w:left="53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podaje cechy plechowców</w:t>
            </w:r>
          </w:p>
          <w:p w:rsidR="00ED6D91" w:rsidRPr="00C5146B" w:rsidRDefault="00ED6D91" w:rsidP="00ED6D91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clear" w:pos="170"/>
                <w:tab w:val="left" w:pos="337"/>
              </w:tabs>
              <w:suppressAutoHyphens w:val="0"/>
              <w:spacing w:line="240" w:lineRule="auto"/>
              <w:ind w:left="53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wskazuje elementy budowy protista wielokomórkowego na przykładzie morszczynu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4"/>
              </w:numPr>
              <w:tabs>
                <w:tab w:val="clear" w:pos="170"/>
                <w:tab w:val="left" w:pos="337"/>
              </w:tabs>
              <w:suppressAutoHyphens w:val="0"/>
              <w:spacing w:line="240" w:lineRule="auto"/>
              <w:ind w:left="53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przedstawia zasady profilaktyki chorób wywoływanych przez protisty (toksoplazmoza, malaria)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00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porównuje tryb życia i budowę protistów roślinopodobnych i zwierzęcych</w:t>
            </w:r>
          </w:p>
          <w:p w:rsidR="00ED6D91" w:rsidRPr="00C5146B" w:rsidRDefault="00ED6D91" w:rsidP="00C5146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11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wykazuje różnorodność budowy protistów (jednokomórkowe, wielokomórkowe) na wybranych przykładach</w:t>
            </w:r>
          </w:p>
          <w:p w:rsidR="00ED6D91" w:rsidRPr="00C5146B" w:rsidRDefault="00ED6D91" w:rsidP="00ED6D91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00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 xml:space="preserve">dokonuje obserwacji mikroskopowej protistów </w:t>
            </w:r>
            <w:r w:rsidRPr="00C5146B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 xml:space="preserve"> budowy i sposobu poruszania się</w:t>
            </w:r>
          </w:p>
          <w:p w:rsidR="00ED6D91" w:rsidRPr="00C5146B" w:rsidRDefault="00ED6D91" w:rsidP="00C514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00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przedstawia drogi zakażenia chorobami wywoływanymi przez protisty (toksoplazmoza, malaria)</w:t>
            </w:r>
          </w:p>
        </w:tc>
      </w:tr>
      <w:tr w:rsidR="00ED6D91" w:rsidRPr="000F1D4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Bezodstpw"/>
              <w:spacing w:line="312" w:lineRule="auto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17. </w:t>
            </w:r>
            <w:r w:rsidRPr="00351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Grzyby </w:t>
            </w:r>
            <w:r w:rsidRPr="003510E8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różnorodność, </w:t>
            </w:r>
            <w:r w:rsidRPr="003510E8">
              <w:rPr>
                <w:rFonts w:asciiTheme="minorHAnsi" w:hAnsiTheme="minorHAnsi" w:cstheme="minorHAnsi"/>
                <w:b/>
                <w:sz w:val="22"/>
                <w:szCs w:val="22"/>
              </w:rPr>
              <w:t>budowa, czynności życiowe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 przedstawia różnorodność budowy grzybów </w:t>
            </w: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(jednokomórkowe, wielokomórkowe)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dlaczego porosty określamy jako organizmy symbiotyczne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wskazuje cechy odróżniające grzyby od organizmów innych królestw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wykazuje różnorodność budowy grzybów na wybranych przykładach</w:t>
            </w:r>
          </w:p>
          <w:p w:rsidR="00ED6D91" w:rsidRPr="00C5146B" w:rsidRDefault="00ED6D91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opisuje wybrane czynności życiowe grzybów (odżywianie się, oddychanie i rozmnażanie się)</w:t>
            </w:r>
          </w:p>
          <w:p w:rsidR="00ED6D91" w:rsidRPr="00C5146B" w:rsidRDefault="00ED6D91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left="7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D91" w:rsidRPr="000F1D4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18. Grzyby </w:t>
            </w:r>
            <w:r w:rsidRPr="003510E8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351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środowisko życia, </w:t>
            </w: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i znaczenie</w:t>
            </w:r>
          </w:p>
          <w:p w:rsidR="00ED6D91" w:rsidRPr="003510E8" w:rsidRDefault="00ED6D91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środowiska życia grzybów, w tym grzybów porostowych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przedstawia,</w:t>
            </w:r>
            <w:r w:rsid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podając przykłady, pozytywne i </w:t>
            </w: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negatywne znaczenie grzybów dla człowieka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wskazuje cechy umożliwiające zakwalifikowanie organizmu do grzybów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znaczenie grzybów w przyrodzie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w jaki sposób można wykorzystać grzyby porostowe do oceny jakości powietrza</w:t>
            </w:r>
          </w:p>
        </w:tc>
      </w:tr>
      <w:tr w:rsidR="00ED6D91" w:rsidRPr="000F1D4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19. Budowa i różnorodność mchów</w:t>
            </w:r>
          </w:p>
          <w:p w:rsidR="00ED6D91" w:rsidRPr="003510E8" w:rsidRDefault="00ED6D91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określa środowiska życia mchów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odróżnia mchy od innych roślin na rysunkach, fotografiach i okazach naturalnych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przeprowadza doświadczenie wykazujące zdolność mchów do chłonięcia wody,</w:t>
            </w:r>
            <w:r w:rsid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zgodnie z </w:t>
            </w: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podaną </w:t>
            </w:r>
            <w:r w:rsid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instrukcją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znaczenie mchów w przyrodzie i życiu człowieka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wymienia charakterystyczne cechy mchów </w:t>
            </w: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pozwalające na ich identyfikację wśród nieznanych organizmów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cechy budowy zewnętrznej płonnika</w:t>
            </w:r>
          </w:p>
          <w:p w:rsidR="00ED6D91" w:rsidRPr="00C5146B" w:rsidRDefault="00ED6D91" w:rsidP="00ED6D91">
            <w:pPr>
              <w:pStyle w:val="Tekstkomentarza"/>
              <w:numPr>
                <w:ilvl w:val="0"/>
                <w:numId w:val="17"/>
              </w:numPr>
              <w:tabs>
                <w:tab w:val="left" w:pos="337"/>
              </w:tabs>
              <w:ind w:left="17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dlaczego torfowiec może gromadzić duże ilości wody</w:t>
            </w:r>
          </w:p>
        </w:tc>
      </w:tr>
      <w:tr w:rsidR="00ED6D91" w:rsidRPr="000F1D4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3510E8" w:rsidRDefault="00ED6D91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20. Paprociowe, widłakowe i skrzypowe</w:t>
            </w:r>
          </w:p>
          <w:p w:rsidR="00ED6D91" w:rsidRPr="003510E8" w:rsidRDefault="00ED6D91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53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wskazuje środowiska życia paprociowych, widłakowych i skrzypowych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146B">
              <w:rPr>
                <w:rFonts w:asciiTheme="minorHAnsi" w:hAnsiTheme="minorHAnsi" w:cstheme="minorHAnsi"/>
                <w:sz w:val="22"/>
                <w:szCs w:val="22"/>
              </w:rPr>
              <w:t>opisuje znaczenie paprociowych, widłakowych i skrzypowych w przyrodzie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rozpoznaje przedstawicieli paprociowych, widłakowych i skrzypowych na rysunkach, fotografiach i okazach naturalnych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podaje charakterystyczne cechy paprociowych, widłakowych i skrzypowych</w:t>
            </w:r>
          </w:p>
          <w:p w:rsidR="00ED6D91" w:rsidRPr="00C5146B" w:rsidRDefault="00ED6D91" w:rsidP="00ED6D91">
            <w:pPr>
              <w:pStyle w:val="Tekstkomentarza"/>
              <w:numPr>
                <w:ilvl w:val="0"/>
                <w:numId w:val="18"/>
              </w:numPr>
              <w:tabs>
                <w:tab w:val="left" w:pos="263"/>
              </w:tabs>
              <w:ind w:left="17" w:firstLine="0"/>
              <w:rPr>
                <w:rFonts w:asciiTheme="minorHAnsi" w:hAnsiTheme="minorHAnsi"/>
                <w:sz w:val="22"/>
                <w:szCs w:val="22"/>
              </w:rPr>
            </w:pPr>
            <w:r w:rsidRPr="00C5146B">
              <w:rPr>
                <w:rFonts w:asciiTheme="minorHAnsi" w:hAnsiTheme="minorHAnsi"/>
                <w:sz w:val="22"/>
                <w:szCs w:val="22"/>
              </w:rPr>
              <w:t>wskazuje podobieństwa i różnice między paprociami, skrzypami i widłakami</w:t>
            </w:r>
          </w:p>
        </w:tc>
      </w:tr>
      <w:tr w:rsidR="00ED6D91" w:rsidRPr="000F1D4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91" w:rsidRPr="003510E8" w:rsidRDefault="00ED6D91" w:rsidP="00A95E29">
            <w:pPr>
              <w:pStyle w:val="Style28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21. Podsumowanie </w:t>
            </w:r>
          </w:p>
          <w:p w:rsidR="00ED6D91" w:rsidRPr="003510E8" w:rsidRDefault="00ED6D91" w:rsidP="00A95E29">
            <w:pPr>
              <w:pStyle w:val="Style28"/>
              <w:widowControl/>
              <w:rPr>
                <w:rStyle w:val="FontStyle68"/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3510E8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działu 3: </w:t>
            </w:r>
            <w:r w:rsidRPr="003510E8">
              <w:rPr>
                <w:rStyle w:val="FontStyle68"/>
                <w:rFonts w:asciiTheme="minorHAnsi" w:hAnsiTheme="minorHAnsi" w:cstheme="minorHAnsi"/>
                <w:i/>
                <w:sz w:val="22"/>
                <w:szCs w:val="22"/>
              </w:rPr>
              <w:t>Protisty. Grzyby. Rośliny zarodnikowe</w:t>
            </w:r>
          </w:p>
          <w:p w:rsidR="00ED6D91" w:rsidRPr="003510E8" w:rsidRDefault="00ED6D91" w:rsidP="00A95E29">
            <w:pPr>
              <w:pStyle w:val="Style28"/>
              <w:widowControl/>
              <w:rPr>
                <w:rStyle w:val="FontStyle70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91" w:rsidRPr="003510E8" w:rsidRDefault="00ED6D91" w:rsidP="00A95E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6D91" w:rsidRPr="003510E8" w:rsidRDefault="00ED6D91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0E8">
              <w:rPr>
                <w:rFonts w:asciiTheme="minorHAnsi" w:hAnsiTheme="minorHAnsi" w:cstheme="minorHAnsi"/>
                <w:sz w:val="22"/>
                <w:szCs w:val="22"/>
              </w:rPr>
              <w:t>wszystkie wymagania z lekcji 15–20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4979"/>
        <w:gridCol w:w="6926"/>
      </w:tblGrid>
      <w:tr w:rsidR="00ED6D91" w:rsidRPr="00177C59" w:rsidTr="00A95E29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91" w:rsidRPr="003510E8" w:rsidRDefault="00ED6D91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i w:val="0"/>
                <w:sz w:val="22"/>
                <w:szCs w:val="22"/>
                <w:lang w:eastAsia="en-US"/>
              </w:rPr>
            </w:pPr>
            <w:r w:rsidRPr="003510E8">
              <w:rPr>
                <w:rStyle w:val="FontStyle68"/>
                <w:sz w:val="22"/>
                <w:szCs w:val="22"/>
              </w:rPr>
              <w:t>Dział 4. ROŚLINY NASIENNE. TKANKI I ORGANY ROŚLINNE</w:t>
            </w:r>
          </w:p>
        </w:tc>
      </w:tr>
      <w:tr w:rsidR="00ED6D91" w:rsidRPr="005D6C6B" w:rsidTr="00A95E29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152F16" w:rsidRDefault="00ED6D91" w:rsidP="00A95E29">
            <w:pPr>
              <w:pStyle w:val="Style21"/>
              <w:widowControl/>
              <w:rPr>
                <w:rStyle w:val="FontStyle68"/>
                <w:sz w:val="22"/>
                <w:szCs w:val="22"/>
              </w:rPr>
            </w:pPr>
            <w:r w:rsidRPr="00152F16">
              <w:rPr>
                <w:rStyle w:val="FontStyle68"/>
                <w:sz w:val="22"/>
                <w:szCs w:val="22"/>
              </w:rPr>
              <w:lastRenderedPageBreak/>
              <w:t>22. Budowa roślin. Tkanki roślinne</w:t>
            </w:r>
          </w:p>
          <w:p w:rsidR="00ED6D91" w:rsidRPr="00152F16" w:rsidRDefault="00ED6D91" w:rsidP="00A95E29">
            <w:pPr>
              <w:pStyle w:val="Style6"/>
              <w:widowControl/>
              <w:rPr>
                <w:rStyle w:val="FontStyle70"/>
                <w:b/>
                <w:i w:val="0"/>
                <w:sz w:val="22"/>
                <w:szCs w:val="22"/>
              </w:rPr>
            </w:pPr>
          </w:p>
          <w:p w:rsidR="00ED6D91" w:rsidRPr="00152F16" w:rsidRDefault="00ED6D91" w:rsidP="00A95E29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na okazie żywym lub zielnikowym, na rycinie lub zdjęciu organy rośliny okrytonasiennej i określa ich podstawowe funkcje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klasyfikuje tkanki roślinne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na rysunku, zdjęciu, preparacie mikroskopowym, modelu tkankę okrywającą, miękiszową, przewodzącą, wzmacniającą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dokonuje obserwacji mikroskopowej wybranych tkanek roślinnych</w:t>
            </w:r>
          </w:p>
          <w:p w:rsidR="00ED6D91" w:rsidRPr="00C5146B" w:rsidRDefault="00ED6D91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położenie tkanek twórczych i ich rolę we wzroście rośliny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wykazuje związek między budową a funkcjami tkanek okrywających, miękiszowych, przewodzących i wzmacniających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porównuje budowę zewnętrzną mchów, paprociowych, widłakowych i skrzypowych, nagonasiennych oraz okrytonasiennych, rozróżniając ich organy</w:t>
            </w:r>
          </w:p>
          <w:p w:rsidR="00ED6D91" w:rsidRPr="00C5146B" w:rsidRDefault="00ED6D91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D6D91" w:rsidRPr="005D6C6B" w:rsidTr="00A95E29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152F16" w:rsidRDefault="00ED6D91" w:rsidP="00A95E29">
            <w:pPr>
              <w:pStyle w:val="Style21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152F16">
              <w:rPr>
                <w:rStyle w:val="FontStyle68"/>
                <w:sz w:val="22"/>
                <w:szCs w:val="22"/>
              </w:rPr>
              <w:t>23. Rośliny nagonasienne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przedstawia cechy budowy zewnętrznej rośliny nagonasiennej na przykładzie sosny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rodzime gatunki nagonasiennych na podstawie pędów z szyszkami/szyszkojagodami i igłami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jakie korzyści przyniosło roślinom wytworzenie nasion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5146B">
              <w:rPr>
                <w:rFonts w:asciiTheme="minorHAnsi" w:hAnsiTheme="minorHAnsi"/>
                <w:sz w:val="22"/>
                <w:szCs w:val="22"/>
              </w:rPr>
              <w:t>identyfikuje nieznany organizm jako przedstawiciela nagonasiennych na podstawie jego cech budowy zewnętrznej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 znaczenie nagonasiennych w przyrodzie i dla człowieka jako gatunków lasotwórczych</w:t>
            </w:r>
          </w:p>
        </w:tc>
      </w:tr>
      <w:tr w:rsidR="00ED6D91" w:rsidRPr="005D6C6B" w:rsidTr="00A95E29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1" w:rsidRPr="00152F16" w:rsidRDefault="00ED6D91" w:rsidP="00A95E29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152F16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24. </w:t>
            </w:r>
            <w:r w:rsidRPr="00152F16">
              <w:rPr>
                <w:rFonts w:asciiTheme="minorHAnsi" w:hAnsiTheme="minorHAnsi"/>
                <w:b/>
                <w:sz w:val="22"/>
                <w:szCs w:val="22"/>
              </w:rPr>
              <w:t>Cechy charakterystyczne 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152F16">
              <w:rPr>
                <w:rFonts w:asciiTheme="minorHAnsi" w:hAnsiTheme="minorHAnsi"/>
                <w:b/>
                <w:sz w:val="22"/>
                <w:szCs w:val="22"/>
              </w:rPr>
              <w:t>znaczenie okrytonasiennych</w:t>
            </w:r>
            <w:r w:rsidRPr="00152F16">
              <w:rPr>
                <w:rStyle w:val="NagwekZnak"/>
                <w:rFonts w:asciiTheme="minorHAnsi" w:hAnsiTheme="minorHAnsi"/>
                <w:b/>
                <w:szCs w:val="22"/>
              </w:rPr>
              <w:t xml:space="preserve"> </w:t>
            </w:r>
          </w:p>
          <w:p w:rsidR="00ED6D91" w:rsidRPr="00152F16" w:rsidRDefault="00ED6D91" w:rsidP="00A95E29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37"/>
              </w:tabs>
              <w:spacing w:line="240" w:lineRule="auto"/>
              <w:ind w:left="95" w:hanging="95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rozróżnia formy okrytonasiennych: drzewa, krzewy, krzewinki i rośliny zielne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że życie człowieka nie byłoby możliwe bez roślin okrytonasiennych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Fonts w:asciiTheme="minorHAnsi" w:hAnsiTheme="minorHAnsi"/>
                <w:sz w:val="22"/>
                <w:szCs w:val="22"/>
              </w:rPr>
              <w:t>identyfikuje nieznany organizm jako przedstawiciela okrytonasiennych na podstawie jego cech budowy zewnętrznej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pospolite gatunki rodzimych drzew liściastych na podstawie pędów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że cechy roślin okrytonasiennych przyczyniły się do ich dominacji we florze świata</w:t>
            </w:r>
          </w:p>
          <w:p w:rsidR="00ED6D91" w:rsidRPr="00C5146B" w:rsidRDefault="00ED6D91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D6D91" w:rsidRPr="005D6C6B" w:rsidTr="00A95E29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152F16" w:rsidRDefault="00ED6D91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152F16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25. </w:t>
            </w:r>
            <w:r w:rsidRPr="00152F16">
              <w:rPr>
                <w:rFonts w:asciiTheme="minorHAnsi" w:hAnsiTheme="minorHAnsi"/>
                <w:b/>
                <w:sz w:val="22"/>
                <w:szCs w:val="22"/>
              </w:rPr>
              <w:t>Korzeń i pęd  okrytonasiennych</w:t>
            </w:r>
            <w:r w:rsidRPr="00152F16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budow</w:t>
            </w:r>
            <w:r w:rsid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ę zewnętrzną korzenia, łodygi i </w:t>
            </w: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liścia 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systemy korzeniowe – palowy i wiązkowy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5146B">
              <w:rPr>
                <w:rFonts w:asciiTheme="minorHAnsi" w:hAnsiTheme="minorHAnsi"/>
                <w:sz w:val="22"/>
                <w:szCs w:val="22"/>
              </w:rPr>
              <w:t>określa funkcje poszczególnych stref budowy korzenia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12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że budowa liścia stanowi przystosowanie do przeprowadzania fotosyntezy</w:t>
            </w:r>
          </w:p>
          <w:p w:rsidR="00ED6D91" w:rsidRPr="00C5146B" w:rsidRDefault="00ED6D91" w:rsidP="00ED6D91">
            <w:pPr>
              <w:pStyle w:val="Default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C5146B">
              <w:rPr>
                <w:rFonts w:asciiTheme="minorHAnsi" w:hAnsiTheme="minorHAnsi" w:cs="Times New Roman"/>
                <w:sz w:val="22"/>
                <w:szCs w:val="22"/>
              </w:rPr>
              <w:t>opisuje modyfikacje korzeni, łodyg i liści jako adaptacje roślin okryto</w:t>
            </w:r>
            <w:r w:rsidRPr="00C5146B">
              <w:rPr>
                <w:rFonts w:asciiTheme="minorHAnsi" w:hAnsiTheme="minorHAnsi" w:cs="Times New Roman"/>
                <w:sz w:val="22"/>
                <w:szCs w:val="22"/>
              </w:rPr>
              <w:softHyphen/>
              <w:t xml:space="preserve">nasiennych do życia w określonych środowiskach </w:t>
            </w:r>
          </w:p>
        </w:tc>
      </w:tr>
      <w:tr w:rsidR="00ED6D91" w:rsidRPr="005D6C6B" w:rsidTr="00A95E29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C5146B">
            <w:pPr>
              <w:ind w:left="0" w:firstLine="0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26. </w:t>
            </w:r>
            <w:r w:rsidRPr="00C5146B">
              <w:rPr>
                <w:rFonts w:asciiTheme="minorHAnsi" w:hAnsiTheme="minorHAnsi"/>
                <w:b/>
                <w:sz w:val="22"/>
                <w:szCs w:val="22"/>
              </w:rPr>
              <w:t xml:space="preserve">Budowa kwiatu. Rozmnażanie się </w:t>
            </w:r>
            <w:r w:rsidRPr="00C5146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okrytonasiennych</w:t>
            </w:r>
          </w:p>
          <w:p w:rsidR="00ED6D91" w:rsidRPr="00152F16" w:rsidRDefault="00ED6D91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rozróżnia  elementy budowy kwiatu rośliny okrytonasiennej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określa rolę poszczególnych elementów budowy kwiatu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odróżnia zapylenie i zapłodnienie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na czym polega rozmnażanie się wegetatywne roślin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wyjaśnia, w jaki sposób powstają nasiona i owoce okrytonasiennych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na czym polega rozmnażanie się płciowe roślin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rozróżnia  i obserwuje sposoby rozmnażania się wegetatywnego roślin</w:t>
            </w:r>
          </w:p>
          <w:p w:rsidR="00ED6D91" w:rsidRPr="00C5146B" w:rsidRDefault="00ED6D91" w:rsidP="00ED6D91">
            <w:pPr>
              <w:pStyle w:val="Akapitzlist"/>
              <w:numPr>
                <w:ilvl w:val="0"/>
                <w:numId w:val="22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211" w:hanging="199"/>
              <w:textAlignment w:val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wskazuje przykłady roślin użytkowych rozmnażanych wegetatywnie </w:t>
            </w:r>
            <w:r w:rsidRPr="00C5146B">
              <w:rPr>
                <w:rFonts w:asciiTheme="minorHAnsi" w:hAnsiTheme="minorHAnsi" w:cs="AgendaPl-RegularCondensed"/>
                <w:sz w:val="22"/>
                <w:szCs w:val="22"/>
              </w:rPr>
              <w:t>i sposobu, w jaki można je rozmnożyć</w:t>
            </w:r>
          </w:p>
        </w:tc>
      </w:tr>
      <w:tr w:rsidR="00ED6D91" w:rsidRPr="005D6C6B" w:rsidTr="00A95E29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C5146B">
            <w:p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C5146B">
              <w:rPr>
                <w:rStyle w:val="FontStyle68"/>
                <w:rFonts w:asciiTheme="minorHAnsi" w:hAnsiTheme="minorHAnsi"/>
                <w:sz w:val="22"/>
                <w:szCs w:val="22"/>
              </w:rPr>
              <w:lastRenderedPageBreak/>
              <w:t xml:space="preserve">27. </w:t>
            </w:r>
            <w:r w:rsidRPr="00C5146B">
              <w:rPr>
                <w:rFonts w:asciiTheme="minorHAnsi" w:hAnsiTheme="minorHAnsi"/>
                <w:b/>
                <w:sz w:val="22"/>
                <w:szCs w:val="22"/>
              </w:rPr>
              <w:t>Nasiona i owoce okrytonasiennych</w:t>
            </w:r>
          </w:p>
          <w:p w:rsidR="00ED6D91" w:rsidRPr="00152F16" w:rsidRDefault="00ED6D91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rolę poszczególnych części nasienia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podaje przykłady przystosowań w budowie owoców do rozprzestrzeniania się za pośrednictwem zwierząt, wiatru i wody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przebieg kiełkowania nasion i warunki niezbędne do tego procesu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planuje doświadczenie sprawdzające wpływ wybranego czynnika na kiełkowanie nasion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wykonuje doświadczenie sprawdzające wpływ wybranego czynnika na kiełkowanie nasion </w:t>
            </w:r>
          </w:p>
          <w:p w:rsidR="00ED6D91" w:rsidRPr="00C5146B" w:rsidRDefault="00ED6D91" w:rsidP="00ED6D91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5146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 potrzebę przestrzegania procedur badawczych podczas obserwacji i doświadczeń  biologicznych</w:t>
            </w:r>
          </w:p>
        </w:tc>
      </w:tr>
      <w:tr w:rsidR="00ED6D91" w:rsidRPr="005D6C6B" w:rsidTr="00A95E29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91" w:rsidRPr="00152F16" w:rsidRDefault="00ED6D91" w:rsidP="00A95E29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152F16">
              <w:rPr>
                <w:rStyle w:val="FontStyle68"/>
                <w:sz w:val="22"/>
                <w:szCs w:val="22"/>
              </w:rPr>
              <w:t xml:space="preserve">28. Posumowanie działu </w:t>
            </w:r>
            <w:r>
              <w:rPr>
                <w:rStyle w:val="FontStyle68"/>
                <w:sz w:val="22"/>
                <w:szCs w:val="22"/>
              </w:rPr>
              <w:t>4</w:t>
            </w:r>
            <w:r w:rsidRPr="00152F16">
              <w:rPr>
                <w:rStyle w:val="FontStyle68"/>
                <w:sz w:val="22"/>
                <w:szCs w:val="22"/>
              </w:rPr>
              <w:t xml:space="preserve">: </w:t>
            </w:r>
            <w:r>
              <w:rPr>
                <w:rStyle w:val="FontStyle68"/>
                <w:i/>
                <w:sz w:val="22"/>
                <w:szCs w:val="22"/>
              </w:rPr>
              <w:t>Rośliny nasienne. Tkanki i </w:t>
            </w:r>
            <w:r w:rsidRPr="00152F16">
              <w:rPr>
                <w:rStyle w:val="FontStyle68"/>
                <w:i/>
                <w:sz w:val="22"/>
                <w:szCs w:val="22"/>
              </w:rPr>
              <w:t xml:space="preserve">organy roślinne </w:t>
            </w:r>
          </w:p>
        </w:tc>
        <w:tc>
          <w:tcPr>
            <w:tcW w:w="1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91" w:rsidRPr="005D6C6B" w:rsidRDefault="00ED6D91" w:rsidP="00A95E29">
            <w:pPr>
              <w:spacing w:line="240" w:lineRule="auto"/>
              <w:jc w:val="center"/>
              <w:rPr>
                <w:rFonts w:cs="Calibri"/>
              </w:rPr>
            </w:pPr>
          </w:p>
          <w:p w:rsidR="00ED6D91" w:rsidRPr="00C5146B" w:rsidRDefault="00ED6D91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5146B">
              <w:rPr>
                <w:rFonts w:asciiTheme="minorHAnsi" w:hAnsiTheme="minorHAnsi" w:cs="Calibri"/>
                <w:sz w:val="22"/>
                <w:szCs w:val="22"/>
              </w:rPr>
              <w:t>wszystkie wymagania z lekcji 22–27</w:t>
            </w:r>
          </w:p>
        </w:tc>
      </w:tr>
    </w:tbl>
    <w:p w:rsidR="00211372" w:rsidRPr="007C0D59" w:rsidRDefault="00211372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</w:p>
    <w:p w:rsidR="00211372" w:rsidRPr="00211372" w:rsidRDefault="00211372" w:rsidP="00211372">
      <w:pPr>
        <w:rPr>
          <w:rFonts w:asciiTheme="minorHAnsi" w:hAnsiTheme="minorHAnsi"/>
          <w:sz w:val="22"/>
          <w:szCs w:val="22"/>
        </w:rPr>
      </w:pPr>
    </w:p>
    <w:p w:rsidR="006B5810" w:rsidRPr="00561DB4" w:rsidRDefault="008F3404" w:rsidP="008F3404">
      <w:pPr>
        <w:ind w:left="0" w:firstLine="0"/>
        <w:jc w:val="right"/>
      </w:pPr>
      <w:r>
        <w:t>Barbara Lelito</w:t>
      </w:r>
    </w:p>
    <w:sectPr w:rsidR="006B5810" w:rsidRPr="00561DB4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CE" w:rsidRDefault="002E55CE" w:rsidP="00285D6F">
      <w:pPr>
        <w:spacing w:line="240" w:lineRule="auto"/>
      </w:pPr>
      <w:r>
        <w:separator/>
      </w:r>
    </w:p>
  </w:endnote>
  <w:endnote w:type="continuationSeparator" w:id="0">
    <w:p w:rsidR="002E55CE" w:rsidRDefault="002E55CE" w:rsidP="00285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Regular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utch801H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0D" w:rsidRDefault="00677024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677024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B3490D">
      <w:rPr>
        <w:b/>
        <w:color w:val="003892"/>
      </w:rPr>
      <w:t xml:space="preserve"> </w:t>
    </w:r>
    <w:r w:rsidR="00B3490D" w:rsidRPr="009E0F62">
      <w:rPr>
        <w:b/>
        <w:color w:val="003892"/>
      </w:rPr>
      <w:t>AUTORZY:</w:t>
    </w:r>
    <w:r w:rsidR="00B3490D" w:rsidRPr="00285D6F">
      <w:rPr>
        <w:color w:val="003892"/>
      </w:rPr>
      <w:t xml:space="preserve"> </w:t>
    </w:r>
    <w:r w:rsidR="00B3490D">
      <w:rPr>
        <w:rFonts w:ascii="AgendaPl-Regular" w:hAnsi="AgendaPl-Regular" w:cs="AgendaPl-Regular"/>
        <w:color w:val="auto"/>
      </w:rPr>
      <w:t xml:space="preserve">Ewa </w:t>
    </w:r>
    <w:r w:rsidR="00AA7601">
      <w:rPr>
        <w:rFonts w:ascii="AgendaPl-Regular" w:hAnsi="AgendaPl-Regular" w:cs="AgendaPl-Regular"/>
        <w:color w:val="auto"/>
      </w:rPr>
      <w:t>Jastrzębska</w:t>
    </w:r>
    <w:r w:rsidR="00B3490D">
      <w:rPr>
        <w:rFonts w:ascii="AgendaPl-Regular" w:hAnsi="AgendaPl-Regular" w:cs="AgendaPl-Regular"/>
        <w:color w:val="auto"/>
      </w:rPr>
      <w:t xml:space="preserve">, Ewa Kłos, Wawrzyniec Kofta, Ewa </w:t>
    </w:r>
    <w:r w:rsidR="00AA7601">
      <w:rPr>
        <w:rFonts w:ascii="AgendaPl-Regular" w:hAnsi="AgendaPl-Regular" w:cs="AgendaPl-Regular"/>
        <w:color w:val="auto"/>
      </w:rPr>
      <w:t>Pyłka-Gutowska</w:t>
    </w:r>
  </w:p>
  <w:p w:rsidR="00B3490D" w:rsidRDefault="00677024" w:rsidP="00EE01FE">
    <w:pPr>
      <w:pStyle w:val="Stopka"/>
      <w:tabs>
        <w:tab w:val="clear" w:pos="9072"/>
        <w:tab w:val="right" w:pos="9639"/>
      </w:tabs>
      <w:ind w:left="-567" w:right="1"/>
    </w:pPr>
    <w:r w:rsidRPr="00677024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B3490D" w:rsidRDefault="00B3490D" w:rsidP="0002209F">
    <w:pPr>
      <w:pStyle w:val="Stopka"/>
      <w:tabs>
        <w:tab w:val="clear" w:pos="4536"/>
        <w:tab w:val="clear" w:pos="9072"/>
      </w:tabs>
      <w:spacing w:before="240"/>
      <w:ind w:left="-1417"/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2368" cy="273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490D" w:rsidRDefault="00677024" w:rsidP="009130E5">
    <w:pPr>
      <w:pStyle w:val="Stopka"/>
      <w:ind w:left="-1417"/>
      <w:jc w:val="center"/>
    </w:pPr>
    <w:r>
      <w:fldChar w:fldCharType="begin"/>
    </w:r>
    <w:r w:rsidR="00B3490D">
      <w:instrText>PAGE   \* MERGEFORMAT</w:instrText>
    </w:r>
    <w:r>
      <w:fldChar w:fldCharType="separate"/>
    </w:r>
    <w:r w:rsidR="008F3404">
      <w:rPr>
        <w:noProof/>
      </w:rPr>
      <w:t>8</w:t>
    </w:r>
    <w:r>
      <w:fldChar w:fldCharType="end"/>
    </w:r>
  </w:p>
  <w:p w:rsidR="00B3490D" w:rsidRPr="00285D6F" w:rsidRDefault="00B3490D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CE" w:rsidRDefault="002E55CE" w:rsidP="00285D6F">
      <w:pPr>
        <w:spacing w:line="240" w:lineRule="auto"/>
      </w:pPr>
      <w:r>
        <w:separator/>
      </w:r>
    </w:p>
  </w:footnote>
  <w:footnote w:type="continuationSeparator" w:id="0">
    <w:p w:rsidR="002E55CE" w:rsidRDefault="002E55CE" w:rsidP="00285D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0D" w:rsidRDefault="00B3490D" w:rsidP="0002209F">
    <w:pPr>
      <w:pStyle w:val="Nagwek"/>
      <w:tabs>
        <w:tab w:val="clear" w:pos="9072"/>
      </w:tabs>
      <w:spacing w:after="40"/>
      <w:ind w:left="142" w:right="142" w:hanging="426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50165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47708</wp:posOffset>
          </wp:positionV>
          <wp:extent cx="7903597" cy="953849"/>
          <wp:effectExtent l="0" t="0" r="254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597" cy="95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490D" w:rsidRDefault="00B3490D" w:rsidP="00435B7E">
    <w:pPr>
      <w:pStyle w:val="Nagwek"/>
      <w:tabs>
        <w:tab w:val="clear" w:pos="9072"/>
      </w:tabs>
      <w:ind w:left="142" w:right="142"/>
    </w:pPr>
  </w:p>
  <w:p w:rsidR="00B3490D" w:rsidRDefault="00B3490D" w:rsidP="00D22D55">
    <w:pPr>
      <w:pStyle w:val="Nagwek"/>
      <w:tabs>
        <w:tab w:val="clear" w:pos="9072"/>
      </w:tabs>
      <w:ind w:left="142" w:right="-283"/>
    </w:pPr>
  </w:p>
  <w:p w:rsidR="00B3490D" w:rsidRDefault="00B3490D" w:rsidP="00D22D55">
    <w:pPr>
      <w:pStyle w:val="Nagwek"/>
      <w:tabs>
        <w:tab w:val="clear" w:pos="9072"/>
      </w:tabs>
      <w:ind w:left="142" w:right="-283"/>
    </w:pPr>
  </w:p>
  <w:p w:rsidR="00B3490D" w:rsidRPr="000B75F5" w:rsidRDefault="00B3490D" w:rsidP="00D22D55">
    <w:pPr>
      <w:pStyle w:val="Nagwek"/>
      <w:tabs>
        <w:tab w:val="clear" w:pos="9072"/>
      </w:tabs>
      <w:ind w:left="142" w:right="-283"/>
      <w:rPr>
        <w:rFonts w:ascii="Arial" w:hAnsi="Arial" w:cs="Arial"/>
      </w:rPr>
    </w:pPr>
    <w:r>
      <w:rPr>
        <w:b/>
        <w:color w:val="F09120"/>
      </w:rPr>
      <w:t xml:space="preserve">        </w:t>
    </w:r>
    <w:r w:rsidR="00E1789D">
      <w:rPr>
        <w:rFonts w:ascii="Arial" w:hAnsi="Arial" w:cs="Arial"/>
        <w:b/>
        <w:color w:val="F09120"/>
      </w:rPr>
      <w:t>Biologia</w:t>
    </w:r>
    <w:r w:rsidRPr="000B75F5">
      <w:rPr>
        <w:rFonts w:ascii="Arial" w:hAnsi="Arial" w:cs="Arial"/>
        <w:color w:val="F09120"/>
      </w:rPr>
      <w:t xml:space="preserve"> </w:t>
    </w:r>
    <w:r w:rsidRPr="000B75F5">
      <w:rPr>
        <w:rFonts w:ascii="Arial" w:hAnsi="Arial" w:cs="Arial"/>
      </w:rPr>
      <w:t>| Klasa</w:t>
    </w:r>
    <w:r w:rsidR="00E1789D">
      <w:rPr>
        <w:rFonts w:ascii="Arial" w:hAnsi="Arial" w:cs="Arial"/>
      </w:rPr>
      <w:t xml:space="preserve"> 5</w:t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</w:t>
    </w:r>
    <w:r>
      <w:rPr>
        <w:rFonts w:ascii="Arial" w:hAnsi="Arial" w:cs="Arial"/>
        <w:i/>
      </w:rPr>
      <w:t>Plan wynikowy</w:t>
    </w:r>
  </w:p>
  <w:p w:rsidR="00B3490D" w:rsidRDefault="00B349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82B86"/>
    <w:multiLevelType w:val="hybridMultilevel"/>
    <w:tmpl w:val="DE92091C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20CF4"/>
    <w:multiLevelType w:val="hybridMultilevel"/>
    <w:tmpl w:val="216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A6A89"/>
    <w:multiLevelType w:val="hybridMultilevel"/>
    <w:tmpl w:val="08D65890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844A6"/>
    <w:multiLevelType w:val="hybridMultilevel"/>
    <w:tmpl w:val="C7208C9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0489C"/>
    <w:multiLevelType w:val="hybridMultilevel"/>
    <w:tmpl w:val="F012978E"/>
    <w:lvl w:ilvl="0" w:tplc="2D72D714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3176"/>
        </w:tabs>
        <w:ind w:left="31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3896"/>
        </w:tabs>
        <w:ind w:left="38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16"/>
        </w:tabs>
        <w:ind w:left="46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36"/>
        </w:tabs>
        <w:ind w:left="53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56"/>
        </w:tabs>
        <w:ind w:left="60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6776"/>
        </w:tabs>
        <w:ind w:left="67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7496"/>
        </w:tabs>
        <w:ind w:left="74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16"/>
        </w:tabs>
        <w:ind w:left="8216" w:hanging="360"/>
      </w:pPr>
    </w:lvl>
  </w:abstractNum>
  <w:abstractNum w:abstractNumId="7">
    <w:nsid w:val="2F1B5938"/>
    <w:multiLevelType w:val="hybridMultilevel"/>
    <w:tmpl w:val="7EBC7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B7333"/>
    <w:multiLevelType w:val="hybridMultilevel"/>
    <w:tmpl w:val="DB4A2722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>
    <w:nsid w:val="41674066"/>
    <w:multiLevelType w:val="hybridMultilevel"/>
    <w:tmpl w:val="995E3668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C637E"/>
    <w:multiLevelType w:val="hybridMultilevel"/>
    <w:tmpl w:val="012A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599"/>
    <w:multiLevelType w:val="hybridMultilevel"/>
    <w:tmpl w:val="C5F60CA4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0746B"/>
    <w:multiLevelType w:val="hybridMultilevel"/>
    <w:tmpl w:val="2F7C1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E693F"/>
    <w:multiLevelType w:val="hybridMultilevel"/>
    <w:tmpl w:val="A8E6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02747"/>
    <w:multiLevelType w:val="hybridMultilevel"/>
    <w:tmpl w:val="040A4030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D1A6D"/>
    <w:multiLevelType w:val="hybridMultilevel"/>
    <w:tmpl w:val="1BE68A8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45AD8"/>
    <w:multiLevelType w:val="hybridMultilevel"/>
    <w:tmpl w:val="11DC9D42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93AED"/>
    <w:multiLevelType w:val="hybridMultilevel"/>
    <w:tmpl w:val="902AFF7C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BB3BB6"/>
    <w:multiLevelType w:val="hybridMultilevel"/>
    <w:tmpl w:val="DB04B0FE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22618"/>
    <w:multiLevelType w:val="hybridMultilevel"/>
    <w:tmpl w:val="20E07620"/>
    <w:lvl w:ilvl="0" w:tplc="2390C248">
      <w:start w:val="1"/>
      <w:numFmt w:val="bullet"/>
      <w:pStyle w:val="mojepunkty1"/>
      <w:lvlText w:val="•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21"/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3"/>
  </w:num>
  <w:num w:numId="15">
    <w:abstractNumId w:val="10"/>
  </w:num>
  <w:num w:numId="16">
    <w:abstractNumId w:val="16"/>
  </w:num>
  <w:num w:numId="17">
    <w:abstractNumId w:val="8"/>
  </w:num>
  <w:num w:numId="18">
    <w:abstractNumId w:val="2"/>
  </w:num>
  <w:num w:numId="19">
    <w:abstractNumId w:val="13"/>
  </w:num>
  <w:num w:numId="20">
    <w:abstractNumId w:val="6"/>
  </w:num>
  <w:num w:numId="21">
    <w:abstractNumId w:val="9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01B9"/>
    <w:rsid w:val="0002209F"/>
    <w:rsid w:val="00084DC3"/>
    <w:rsid w:val="000B75F5"/>
    <w:rsid w:val="000D7FD1"/>
    <w:rsid w:val="00122E8E"/>
    <w:rsid w:val="00194E09"/>
    <w:rsid w:val="001B77EC"/>
    <w:rsid w:val="001D4196"/>
    <w:rsid w:val="001E4CB0"/>
    <w:rsid w:val="00211372"/>
    <w:rsid w:val="00245DA5"/>
    <w:rsid w:val="00285D6F"/>
    <w:rsid w:val="00292902"/>
    <w:rsid w:val="00294C0B"/>
    <w:rsid w:val="002B5341"/>
    <w:rsid w:val="002E55CE"/>
    <w:rsid w:val="002F1910"/>
    <w:rsid w:val="00317434"/>
    <w:rsid w:val="0032331D"/>
    <w:rsid w:val="003572A4"/>
    <w:rsid w:val="003B19DC"/>
    <w:rsid w:val="003C6144"/>
    <w:rsid w:val="00435B7E"/>
    <w:rsid w:val="004437EF"/>
    <w:rsid w:val="00485D8E"/>
    <w:rsid w:val="004A1A12"/>
    <w:rsid w:val="004F2292"/>
    <w:rsid w:val="00510A37"/>
    <w:rsid w:val="00560C63"/>
    <w:rsid w:val="00561DB4"/>
    <w:rsid w:val="00592B22"/>
    <w:rsid w:val="005A004D"/>
    <w:rsid w:val="005E5250"/>
    <w:rsid w:val="00602ABB"/>
    <w:rsid w:val="00631600"/>
    <w:rsid w:val="00672759"/>
    <w:rsid w:val="00677024"/>
    <w:rsid w:val="006B5810"/>
    <w:rsid w:val="006C4E2D"/>
    <w:rsid w:val="00747F15"/>
    <w:rsid w:val="00753969"/>
    <w:rsid w:val="007B3CB5"/>
    <w:rsid w:val="007C0D59"/>
    <w:rsid w:val="007D4A4E"/>
    <w:rsid w:val="008217F1"/>
    <w:rsid w:val="008648E0"/>
    <w:rsid w:val="00890CCF"/>
    <w:rsid w:val="0089186E"/>
    <w:rsid w:val="008957A1"/>
    <w:rsid w:val="008B5F00"/>
    <w:rsid w:val="008B6CC5"/>
    <w:rsid w:val="008C2636"/>
    <w:rsid w:val="008C3EF2"/>
    <w:rsid w:val="008F3404"/>
    <w:rsid w:val="008F3A2D"/>
    <w:rsid w:val="009130E5"/>
    <w:rsid w:val="00914856"/>
    <w:rsid w:val="009B3393"/>
    <w:rsid w:val="009D69E8"/>
    <w:rsid w:val="009E0F62"/>
    <w:rsid w:val="00A0713B"/>
    <w:rsid w:val="00A07CC7"/>
    <w:rsid w:val="00A239DF"/>
    <w:rsid w:val="00A34B5A"/>
    <w:rsid w:val="00A4422C"/>
    <w:rsid w:val="00A561EA"/>
    <w:rsid w:val="00A5798A"/>
    <w:rsid w:val="00AA7601"/>
    <w:rsid w:val="00AB49BA"/>
    <w:rsid w:val="00B1078D"/>
    <w:rsid w:val="00B3490D"/>
    <w:rsid w:val="00B4702A"/>
    <w:rsid w:val="00B63701"/>
    <w:rsid w:val="00B805BB"/>
    <w:rsid w:val="00BB2770"/>
    <w:rsid w:val="00BE3B64"/>
    <w:rsid w:val="00C22C75"/>
    <w:rsid w:val="00C5146B"/>
    <w:rsid w:val="00C569BC"/>
    <w:rsid w:val="00D22D55"/>
    <w:rsid w:val="00D5550F"/>
    <w:rsid w:val="00D6480F"/>
    <w:rsid w:val="00D713A8"/>
    <w:rsid w:val="00E1789D"/>
    <w:rsid w:val="00E27C51"/>
    <w:rsid w:val="00E37176"/>
    <w:rsid w:val="00E94882"/>
    <w:rsid w:val="00EC12C2"/>
    <w:rsid w:val="00EC72E4"/>
    <w:rsid w:val="00ED6D91"/>
    <w:rsid w:val="00EE01FE"/>
    <w:rsid w:val="00EE5625"/>
    <w:rsid w:val="00F06397"/>
    <w:rsid w:val="00FD3A8B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e punkty"/>
    <w:qFormat/>
    <w:rsid w:val="000B75F5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885" w:hanging="36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0B75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003TytulIIrzedu1w">
    <w:name w:val="003 Tytul II rzedu 1 w."/>
    <w:basedOn w:val="Brakstyluakapitowego"/>
    <w:uiPriority w:val="99"/>
    <w:rsid w:val="000B75F5"/>
    <w:pPr>
      <w:tabs>
        <w:tab w:val="left" w:pos="170"/>
        <w:tab w:val="left" w:pos="340"/>
        <w:tab w:val="left" w:pos="510"/>
      </w:tabs>
      <w:suppressAutoHyphens/>
      <w:spacing w:before="283" w:after="113" w:line="320" w:lineRule="atLeast"/>
    </w:pPr>
    <w:rPr>
      <w:rFonts w:ascii="AgendaPl Bold" w:hAnsi="AgendaPl Bold" w:cs="AgendaPl Bold"/>
      <w:b/>
      <w:bCs/>
      <w:color w:val="FF7F00"/>
      <w:sz w:val="32"/>
      <w:szCs w:val="32"/>
    </w:rPr>
  </w:style>
  <w:style w:type="paragraph" w:customStyle="1" w:styleId="tekstpodstawowyPORADNIK">
    <w:name w:val="tekst podstawowy (PORADNIK)"/>
    <w:basedOn w:val="Brakstyluakapitowego"/>
    <w:uiPriority w:val="99"/>
    <w:rsid w:val="000B75F5"/>
    <w:pPr>
      <w:tabs>
        <w:tab w:val="left" w:pos="22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5TytuIVrzedu">
    <w:name w:val="005 Tytuł IV rzedu"/>
    <w:basedOn w:val="Normalny"/>
    <w:uiPriority w:val="99"/>
    <w:rsid w:val="000B75F5"/>
    <w:pPr>
      <w:tabs>
        <w:tab w:val="left" w:pos="340"/>
        <w:tab w:val="left" w:pos="510"/>
      </w:tabs>
      <w:suppressAutoHyphens w:val="0"/>
      <w:spacing w:before="283" w:line="320" w:lineRule="atLeast"/>
      <w:ind w:left="0" w:firstLine="0"/>
      <w:jc w:val="both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-numerykolumnPORADNIK">
    <w:name w:val="tabela - numery kolumn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0"/>
      <w:szCs w:val="20"/>
    </w:rPr>
  </w:style>
  <w:style w:type="paragraph" w:customStyle="1" w:styleId="tabelaglowkaPORADNIK">
    <w:name w:val="tabela glowka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PORADNIK">
    <w:name w:val="tabela tekst (PORADNIK)"/>
    <w:basedOn w:val="Brakstyluakapitowego"/>
    <w:uiPriority w:val="99"/>
    <w:rsid w:val="000B75F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">
    <w:name w:val="Bold"/>
    <w:uiPriority w:val="99"/>
    <w:rsid w:val="000B75F5"/>
    <w:rPr>
      <w:b/>
      <w:bCs/>
    </w:rPr>
  </w:style>
  <w:style w:type="character" w:customStyle="1" w:styleId="Italiccondensedwtabeli">
    <w:name w:val="Italic (condensed) w tabeli"/>
    <w:uiPriority w:val="99"/>
    <w:rsid w:val="000B75F5"/>
    <w:rPr>
      <w:i/>
      <w:iCs/>
    </w:rPr>
  </w:style>
  <w:style w:type="paragraph" w:customStyle="1" w:styleId="mojepunkty1">
    <w:name w:val="moje punkty_1"/>
    <w:qFormat/>
    <w:rsid w:val="000B75F5"/>
    <w:pPr>
      <w:numPr>
        <w:numId w:val="6"/>
      </w:numPr>
      <w:tabs>
        <w:tab w:val="left" w:pos="170"/>
      </w:tabs>
      <w:spacing w:after="120" w:line="240" w:lineRule="auto"/>
      <w:ind w:left="170" w:hanging="170"/>
      <w:contextualSpacing/>
    </w:pPr>
    <w:rPr>
      <w:rFonts w:ascii="Arial" w:hAnsi="Arial" w:cs="AgendaPl RegularCondensed"/>
      <w:color w:val="000000"/>
      <w:sz w:val="18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D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4" w:lineRule="exact"/>
      <w:ind w:left="0" w:firstLine="250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6" w:lineRule="exact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30" w:lineRule="exact"/>
      <w:ind w:left="0" w:hanging="72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abela-tekstpodstawowykropatabele">
    <w:name w:val="tabela - tekst podstawowy kropa (tabele)"/>
    <w:basedOn w:val="Normalny"/>
    <w:uiPriority w:val="99"/>
    <w:rsid w:val="00ED6D91"/>
    <w:pPr>
      <w:tabs>
        <w:tab w:val="clear" w:pos="170"/>
      </w:tabs>
      <w:suppressAutoHyphens w:val="0"/>
      <w:spacing w:line="230" w:lineRule="atLeast"/>
      <w:ind w:left="170" w:hanging="170"/>
      <w:textAlignment w:val="auto"/>
    </w:pPr>
    <w:rPr>
      <w:rFonts w:eastAsia="Calibri"/>
      <w:w w:val="97"/>
    </w:rPr>
  </w:style>
  <w:style w:type="character" w:customStyle="1" w:styleId="FontStyle68">
    <w:name w:val="Font Style68"/>
    <w:basedOn w:val="Domylnaczcionkaakapitu"/>
    <w:uiPriority w:val="99"/>
    <w:rsid w:val="00ED6D91"/>
    <w:rPr>
      <w:rFonts w:ascii="Calibri" w:hAnsi="Calibri" w:cs="Calibri" w:hint="default"/>
      <w:b/>
      <w:bCs/>
      <w:color w:val="000000"/>
      <w:sz w:val="26"/>
      <w:szCs w:val="26"/>
    </w:rPr>
  </w:style>
  <w:style w:type="character" w:customStyle="1" w:styleId="FontStyle69">
    <w:name w:val="Font Style69"/>
    <w:basedOn w:val="Domylnaczcionkaakapitu"/>
    <w:uiPriority w:val="99"/>
    <w:rsid w:val="00ED6D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0">
    <w:name w:val="Font Style70"/>
    <w:basedOn w:val="Domylnaczcionkaakapitu"/>
    <w:uiPriority w:val="99"/>
    <w:rsid w:val="00ED6D9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ED6D91"/>
    <w:rPr>
      <w:rFonts w:ascii="Times New Roman" w:hAnsi="Times New Roman" w:cs="Times New Roman" w:hint="default"/>
      <w:b/>
      <w:bCs/>
      <w:i/>
      <w:iCs/>
      <w:color w:val="000000"/>
      <w:spacing w:val="50"/>
      <w:sz w:val="50"/>
      <w:szCs w:val="50"/>
    </w:rPr>
  </w:style>
  <w:style w:type="paragraph" w:customStyle="1" w:styleId="Style28">
    <w:name w:val="Style28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Bezodstpw">
    <w:name w:val="No Spacing"/>
    <w:uiPriority w:val="1"/>
    <w:qFormat/>
    <w:rsid w:val="00ED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6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e punkty"/>
    <w:qFormat/>
    <w:rsid w:val="000B75F5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885" w:hanging="36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B75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003TytulIIrzedu1w">
    <w:name w:val="003 Tytul II rzedu 1 w."/>
    <w:basedOn w:val="Brakstyluakapitowego"/>
    <w:uiPriority w:val="99"/>
    <w:rsid w:val="000B75F5"/>
    <w:pPr>
      <w:tabs>
        <w:tab w:val="left" w:pos="170"/>
        <w:tab w:val="left" w:pos="340"/>
        <w:tab w:val="left" w:pos="510"/>
      </w:tabs>
      <w:suppressAutoHyphens/>
      <w:spacing w:before="283" w:after="113" w:line="320" w:lineRule="atLeast"/>
    </w:pPr>
    <w:rPr>
      <w:rFonts w:ascii="AgendaPl Bold" w:hAnsi="AgendaPl Bold" w:cs="AgendaPl Bold"/>
      <w:b/>
      <w:bCs/>
      <w:color w:val="FF7F00"/>
      <w:sz w:val="32"/>
      <w:szCs w:val="32"/>
    </w:rPr>
  </w:style>
  <w:style w:type="paragraph" w:customStyle="1" w:styleId="tekstpodstawowyPORADNIK">
    <w:name w:val="tekst podstawowy (PORADNIK)"/>
    <w:basedOn w:val="Brakstyluakapitowego"/>
    <w:uiPriority w:val="99"/>
    <w:rsid w:val="000B75F5"/>
    <w:pPr>
      <w:tabs>
        <w:tab w:val="left" w:pos="22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5TytuIVrzedu">
    <w:name w:val="005 Tytuł IV rzedu"/>
    <w:basedOn w:val="Normalny"/>
    <w:uiPriority w:val="99"/>
    <w:rsid w:val="000B75F5"/>
    <w:pPr>
      <w:tabs>
        <w:tab w:val="left" w:pos="340"/>
        <w:tab w:val="left" w:pos="510"/>
      </w:tabs>
      <w:suppressAutoHyphens w:val="0"/>
      <w:spacing w:before="283" w:line="320" w:lineRule="atLeast"/>
      <w:ind w:left="0" w:firstLine="0"/>
      <w:jc w:val="both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-numerykolumnPORADNIK">
    <w:name w:val="tabela - numery kolumn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0"/>
      <w:szCs w:val="20"/>
    </w:rPr>
  </w:style>
  <w:style w:type="paragraph" w:customStyle="1" w:styleId="tabelaglowkaPORADNIK">
    <w:name w:val="tabela glowka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PORADNIK">
    <w:name w:val="tabela tekst (PORADNIK)"/>
    <w:basedOn w:val="Brakstyluakapitowego"/>
    <w:uiPriority w:val="99"/>
    <w:rsid w:val="000B75F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">
    <w:name w:val="Bold"/>
    <w:uiPriority w:val="99"/>
    <w:rsid w:val="000B75F5"/>
    <w:rPr>
      <w:b/>
      <w:bCs/>
    </w:rPr>
  </w:style>
  <w:style w:type="character" w:customStyle="1" w:styleId="Italiccondensedwtabeli">
    <w:name w:val="Italic (condensed) w tabeli"/>
    <w:uiPriority w:val="99"/>
    <w:rsid w:val="000B75F5"/>
    <w:rPr>
      <w:i/>
      <w:iCs/>
    </w:rPr>
  </w:style>
  <w:style w:type="paragraph" w:customStyle="1" w:styleId="mojepunkty1">
    <w:name w:val="moje punkty_1"/>
    <w:qFormat/>
    <w:rsid w:val="000B75F5"/>
    <w:pPr>
      <w:numPr>
        <w:numId w:val="6"/>
      </w:numPr>
      <w:tabs>
        <w:tab w:val="left" w:pos="170"/>
      </w:tabs>
      <w:spacing w:after="120" w:line="240" w:lineRule="auto"/>
      <w:ind w:left="170" w:hanging="170"/>
      <w:contextualSpacing/>
    </w:pPr>
    <w:rPr>
      <w:rFonts w:ascii="Arial" w:hAnsi="Arial" w:cs="AgendaPl RegularCondensed"/>
      <w:color w:val="000000"/>
      <w:sz w:val="18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D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4" w:lineRule="exact"/>
      <w:ind w:left="0" w:firstLine="250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6" w:lineRule="exact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30" w:lineRule="exact"/>
      <w:ind w:left="0" w:hanging="72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abela-tekstpodstawowykropatabele">
    <w:name w:val="tabela - tekst podstawowy kropa (tabele)"/>
    <w:basedOn w:val="Normalny"/>
    <w:uiPriority w:val="99"/>
    <w:rsid w:val="00ED6D91"/>
    <w:pPr>
      <w:tabs>
        <w:tab w:val="clear" w:pos="170"/>
      </w:tabs>
      <w:suppressAutoHyphens w:val="0"/>
      <w:spacing w:line="230" w:lineRule="atLeast"/>
      <w:ind w:left="170" w:hanging="170"/>
      <w:textAlignment w:val="auto"/>
    </w:pPr>
    <w:rPr>
      <w:rFonts w:eastAsia="Calibri"/>
      <w:w w:val="97"/>
    </w:rPr>
  </w:style>
  <w:style w:type="character" w:customStyle="1" w:styleId="FontStyle68">
    <w:name w:val="Font Style68"/>
    <w:basedOn w:val="Domylnaczcionkaakapitu"/>
    <w:uiPriority w:val="99"/>
    <w:rsid w:val="00ED6D91"/>
    <w:rPr>
      <w:rFonts w:ascii="Calibri" w:hAnsi="Calibri" w:cs="Calibri" w:hint="default"/>
      <w:b/>
      <w:bCs/>
      <w:color w:val="000000"/>
      <w:sz w:val="26"/>
      <w:szCs w:val="26"/>
    </w:rPr>
  </w:style>
  <w:style w:type="character" w:customStyle="1" w:styleId="FontStyle69">
    <w:name w:val="Font Style69"/>
    <w:basedOn w:val="Domylnaczcionkaakapitu"/>
    <w:uiPriority w:val="99"/>
    <w:rsid w:val="00ED6D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0">
    <w:name w:val="Font Style70"/>
    <w:basedOn w:val="Domylnaczcionkaakapitu"/>
    <w:uiPriority w:val="99"/>
    <w:rsid w:val="00ED6D9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ED6D91"/>
    <w:rPr>
      <w:rFonts w:ascii="Times New Roman" w:hAnsi="Times New Roman" w:cs="Times New Roman" w:hint="default"/>
      <w:b/>
      <w:bCs/>
      <w:i/>
      <w:iCs/>
      <w:color w:val="000000"/>
      <w:spacing w:val="50"/>
      <w:sz w:val="50"/>
      <w:szCs w:val="50"/>
    </w:rPr>
  </w:style>
  <w:style w:type="paragraph" w:customStyle="1" w:styleId="Style28">
    <w:name w:val="Style28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Bezodstpw">
    <w:name w:val="No Spacing"/>
    <w:uiPriority w:val="1"/>
    <w:qFormat/>
    <w:rsid w:val="00ED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6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EB52-5824-4789-B24F-DEDF27D4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2123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pawel</cp:lastModifiedBy>
  <cp:revision>18</cp:revision>
  <dcterms:created xsi:type="dcterms:W3CDTF">2018-05-04T11:12:00Z</dcterms:created>
  <dcterms:modified xsi:type="dcterms:W3CDTF">2018-09-06T18:33:00Z</dcterms:modified>
</cp:coreProperties>
</file>